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02:50 МСК · База обновлена: 22.07.2026, 19:38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Врача генетика пригласили в отделение патологии новорождённых для консультации к ребёнку, девочке 10 дней жизни, для исключения наследственного характера нарушений.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Шумное дыхание, попёрхивание при кормлении.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протекала в основном без особенностей, на сроке около 2-х недель у матери был фарингит, применяла гексализ.</w:t>
      </w:r>
    </w:p>
    <w:p>
      <w:pPr>
        <w:spacing w:after="58"/>
      </w:pPr>
      <w:r>
        <w:rPr>
          <w:b w:val="0"/>
          <w:i w:val="0"/>
        </w:rPr>
        <w:t>После рождения наблюдалось стридорозное дыхание, выслушивался систолический шум, выявлены микроаномалии и пороки развития, что послужило основанием для назначения консультации генетика.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Ребёнок от I беременности, I родов на сроке 38 недель Вес при рождении – 3000 г., рост – 51 см, оценка по шкале Апгар 7/8 баллов. +</w:t>
        <w:br/>
        <w:t>Семейный анамнез не отягощён наследственными заболеваниями. Брак не родственный. Родители молоды и считают себя здоровыми, ранее у генетика не консультировались и не обследовались.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обнаружены микроаномалии развития: низко посаженные деформированные ушные раковины, длинная спинка носа, узкие глазные щели, длинные пальцы рук, расщелина мягкого нёба. Систолический шум. Шумное дыхание. Попёрхивается при сосании.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данной клинической ситуации следует предполагать, что аномалии развития, выявленные у ребёнка, являются следствием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тератогенного воздействия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мутации _de novo_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сочетанного действия неизвестных причин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хромосомной патологии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хромосомной патологии</w:t>
      </w:r>
    </w:p>
    <w:p>
      <w:pPr>
        <w:ind w:left="504"/>
      </w:pPr>
      <w:r>
        <w:rPr>
          <w:b w:val="0"/>
          <w:i/>
        </w:rPr>
        <w:t>Комментарии: Обнаруженные у ребёнка дефект межжелудочковой перегородки и дефект межпредсердной перегородки являются одними из самых частых врождённых пороков сердца, на долю которых приходится до 35-40% случаев ВПС (28,1% и до 10,3% соответственно (по Берман Е., Воган В.К.,1993); по другим данным ДМПП составляет около 30% всех врождённых пороков сердца). +</w:t>
        <w:br/>
        <w:t>Врожденные пороки сердца входят в комплекс врожденных пороков развития при большинстве форм хромосомных синдромов. Частота и спектр их вариабельны даже в пределах одной формы патологии. +</w:t>
        <w:br/>
        <w:t>Суммарная частота выявления хромосомных аберраций у живорожденных младенцев с пороками сердца варьирует от 5 до 13 процентов. +</w:t>
        <w:br/>
        <w:t>Таким образом, наличие лицевых микроаномалий в сочетании с врождённым пороком сердца и расщелиной нёба позволяет предположить хромосомную патологию.</w:t>
        <w:br/>
        <w:br/>
        <w:t>Внутренние болезни: в 2-х томах. Учебник Под ред. Н.А. Мухина, В.С. Моисеева, А.И. Мартынова - 2010. - 1264 c.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Ю.М. Белозеров Детская кардиология. - М., - «МЕДпресс-информ», 2004. – 598 с., стр. 57-58</w:t>
      </w:r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сужения объёма диагностического поиска в данной клинической ситуации необходимо запросить результаты таких методов клинической лабораторной и инструментальной диагностики,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брюшной полости и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клинический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неонатальный биохимический скрининг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УЗИ брюшной полости и почек; 2 — ЭХО-КГ; 6 — биохимический анализ крови</w:t>
      </w:r>
    </w:p>
    <w:p>
      <w:pPr>
        <w:ind w:left="504"/>
      </w:pPr>
      <w:r>
        <w:rPr>
          <w:b w:val="0"/>
          <w:i/>
        </w:rPr>
        <w:t>Комментарии: У ребёнка с микроаномалиями развития и врождённым пороком сердца подозревается в первую очередь хромосомная патология, которая, как правило, сопровождается не только множественными микроаномалиями, но и множественными пороками развития внутренних органов.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22, стр. 565, 568). ISBN 978-5-9704-2231-1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Комментарии: Согласно анамнезу у ребёнка был обнаружен врождённый порок сердца. Для уточнения типа врождённого порока сердца необходимы данные ЭХО-КГ, проведённого до операции. При некоторых хромосомных нарушениях можно выделить определённый спектр наиболее характерных врождённых пороков сердца.</w:t>
        <w:br/>
        <w:br/>
        <w:t>Ю.М. Белозеров Детская кардиология. - М., - «МЕДпресс-информ», 2004. – 598 с., стр. 57-58</w:t>
      </w:r>
    </w:p>
    <w:p>
      <w:pPr>
        <w:ind w:left="504"/>
      </w:pPr>
      <w:r>
        <w:rPr>
          <w:b w:val="0"/>
          <w:i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Последние два синдрома характеризуются специфическим нарушением обмена кальция: при синдроме Вильямса – гиперкальциемия, при синдроме делеции 22q11.2 (в т.ч. синдроме Ди Джорджи) – гипокальциемия, что можно использовать в качестве дифференциальной диагностики. Также нарушение обмена кальция в сочетании с микроаномалиями и врождённым пороком сердца является показанием для исключения соответствующего синдрома молекулярно-цитогенетическими методами.</w:t>
        <w:br/>
        <w:br/>
        <w:t>Федеральные клинические рекомендации по диагностике и лечению синдрома Вильямса, 2017, Эпидемиология, стр. 3</w:t>
        <w:br/>
        <w:br/>
      </w:r>
      <w:hyperlink r:id="rId26">
        <w:r>
          <w:rPr>
            <w:color w:val="173C49"/>
            <w:u w:val="single"/>
          </w:rPr>
          <w:t>ФЕДЕРАЛЬНЫЕ КЛИНИЧЕСКИЕ РЕКОМЕНДАЦИИ ПО ДИАГНОСТИКЕ И ЛЕЧЕНИЮ СИНДРОМА ВИЛЬЯМСА. 2017 г.</w:t>
        </w:r>
      </w:hyperlink>
      <w:r>
        <w:rPr>
          <w:b w:val="0"/>
          <w:i/>
        </w:rPr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стр.10-11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Комментарии: Популяционная частота: 1:10000</w:t>
        <w:br/>
        <w:br/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академия.2007. 448 с., 236 ил. - с.54-55;</w:t>
        <w:br/>
        <w:br/>
      </w:r>
      <w:hyperlink r:id="rId31">
        <w:r>
          <w:rPr>
            <w:color w:val="173C49"/>
            <w:u w:val="single"/>
          </w:rPr>
          <w:t>https://omim.org/clinicalSynopsis/194050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https://omim.org/clinicalSynopsis/188400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подобных клинических ситуациях для исключения хромосомной патологии в первую очередь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стандартное цитогенетическое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многоцветный FISH-анализ (mFISH)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сравнительную геномную гибридизацию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стандартное цитогенетическое исследование</w:t>
      </w:r>
    </w:p>
    <w:p>
      <w:pPr>
        <w:ind w:left="504"/>
      </w:pPr>
      <w:r>
        <w:rPr>
          <w:b w:val="0"/>
          <w:i/>
        </w:rPr>
        <w:t>Комментарии: Клинические показания для постнатального исследования конститутивного кариотипа (периферическая кровь, фибробласты)</w:t>
        <w:br/>
        <w:br/>
        <w:t>У пациента:</w:t>
        <w:br/>
        <w:br/>
        <w:t>* Множественные врожденные пороки развития</w:t>
        <w:br/>
        <w:br/>
        <w:t>* Множественные микроаномалии развития</w:t>
        <w:br/>
        <w:br/>
        <w:t>* Низкий вес при рождении</w:t>
        <w:br/>
        <w:br/>
        <w:t>* Умственная отсталость, отставание в психомоторном развитии</w:t>
        <w:br/>
        <w:br/>
        <w:t>* Выраженные отклонения в росте (низкий рост, высокий рост) и размерах головы (микроцефалия, макроцефалия)</w:t>
        <w:br/>
        <w:br/>
        <w:t>* Отставание в физическом и половом развитии</w:t>
        <w:br/>
        <w:br/>
        <w:t>Кузнецова Т.В., Шилова Н.В., Творогова М.Г., Харченко Т.В., Лебедев И.Н., Антоненко В.Г. Практические рекомендации по обеспечению качества и надежности цитогенетических исследований. _Медицинская генетика _2019; 18(5): 3-27 (стр. 23).</w:t>
        <w:br/>
        <w:br/>
        <w:t>Комментарии: …основные показания для проведения цитогенетической диагностики………</w:t>
        <w:br/>
        <w:br/>
        <w:t>* Существование у ребёнка множественных врождённых пороков развития.</w:t>
        <w:br/>
        <w:br/>
        <w:t>* Задержка умственного и физического развития ребенка;</w:t>
        <w:br/>
        <w:br/>
        <w:t>* Подозрение на хромосомную болезнь на основании клинических симптомов.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17. стр. 453). ISBN 978-5-9704-2231-1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основе данных объективного статуса и результатов проведённого обследования можно сделать вывод,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моногенная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мультифакториальная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хромосомная этиология исключена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хромосомная этиология не исключена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хромосомная этиология не исключена</w:t>
      </w:r>
    </w:p>
    <w:p>
      <w:pPr>
        <w:ind w:left="504"/>
      </w:pPr>
      <w:r>
        <w:rPr>
          <w:b w:val="0"/>
          <w:i/>
        </w:rPr>
        <w:t>Комментарии: Стандартное цитогенетическое исследование обеспечивает эффективную диагностику числовых аномалий хромосом и ряда структурных аберраций. Однако метод не позволяет определять происхождение маркерных и сверхчисленных хромосом в кариотипе, идентифицировать сложные хромосомные транслокации, а также диагностировать микроделеционные и микродупликационные синдромы. Это обусловлено разрешающей возможностью световой микроскопии: стандартное цитогенетическое исследование позволяет идентифицировать 250-400 сегментов (бэндов) на гаплоидный геном. Соответственно 1 бэнд включает 5-10 млн.п.о., а микроделеционные и микродупликационные синдромы как правило обусловлены делецией/дупликацией размер которой менее 5 млн.п.о.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458, 568). ISBN 978-5-9704-2231-1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следующем этапе диагностического поиска наиболее целесообразно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многоцветное сегментирование хромосом (mBAND)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спектральное кариотипирование (SKY)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хромосомный микроматричный анализ (array-CGH)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хромосомный микроматричный анализ (array-CGH)</w:t>
      </w:r>
    </w:p>
    <w:p>
      <w:pPr>
        <w:ind w:left="504"/>
      </w:pPr>
      <w:r>
        <w:rPr>
          <w:b w:val="0"/>
          <w:i/>
        </w:rPr>
        <w:t>Комментарии: Хромосомная этиология ряда дисморфических нарушений и пороков развития связана со скрытыми хромосомными перестройками, например, с субхромосомными делециями, которые обычно не обнаруживают при стандартном цитогенетическом исследовании. Все эти типы хромосомных аберраций можно диагностировать при использовании CGH, особенно на платформе микрочипов.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474). ISBN 978-5-9704-2231-1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результаты проведённого обследования и характер нарушений, обнаруженных у ребёнка, наиболее ожидаемым результатом хромосомного микроматричного 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arr[hg19] 22q11.21q11.21(18894865-21808980)x1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arr[hg19] 22q11.21q11.21(18894865-21808980)x3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arr[hg19] 7q11.23q11.23(72744454-74142513)x1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несбалансированные хромосомные перестройки не обнаружены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arr[hg19] 22q11.21q11.21(18894865-21808980)x1</w:t>
      </w:r>
    </w:p>
    <w:p>
      <w:pPr>
        <w:ind w:left="504"/>
      </w:pPr>
      <w:r>
        <w:rPr>
          <w:b w:val="0"/>
          <w:i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Сочетание врождённого порока сердца с характерными микроаномалиями и аномалиями развития иных органов и систем является показанием для исключения соответствующего синдрома молекулярно-цитогенетическими методами.</w:t>
        <w:br/>
        <w:br/>
        <w:t>Федеральные клинические рекомендации по диагностике и лечению синдрома Вильямса, 2017, Эпидемиология, стр. 3</w:t>
        <w:br/>
        <w:br/>
      </w:r>
      <w:hyperlink r:id="rId26">
        <w:r>
          <w:rPr>
            <w:color w:val="173C49"/>
            <w:u w:val="single"/>
          </w:rPr>
          <w:t>ФЕДЕРАЛЬНЫЕ КЛИНИЧЕСКИЕ РЕКОМЕНДАЦИИ ПО ДИАГНОСТИКЕ И ЛЕЧЕНИЮ СИНДРОМА ВИЛЬЯМСА. 2017 г.</w:t>
        </w:r>
      </w:hyperlink>
      <w:r>
        <w:rPr>
          <w:b w:val="0"/>
          <w:i/>
        </w:rPr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стр.10-11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br/>
        <w:br/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академия.2007, 448 с., 236 ил. - с.54-55;</w:t>
        <w:br/>
        <w:br/>
      </w:r>
      <w:hyperlink r:id="rId31">
        <w:r>
          <w:rPr>
            <w:color w:val="173C49"/>
            <w:u w:val="single"/>
          </w:rPr>
          <w:t>https://omim.org/clinicalSynopsis/194050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https://omim.org/clinicalSynopsis/188400</w:t>
        </w:r>
      </w:hyperlink>
      <w:r>
        <w:rPr>
          <w:b w:val="0"/>
          <w:i/>
        </w:rPr>
        <w:br/>
        <w:br/>
        <w:t>Комментарии: У 85-90% процентов больных с синдромом делеции 22q11.2 выявляют делецию протяжённостью около 3Mb; у 8% - 1,5 Мб, у 2% - 2 Mb.</w:t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https://omim.org/entry/188400</w:t>
        </w:r>
      </w:hyperlink>
      <w:r>
        <w:rPr>
          <w:b w:val="0"/>
          <w:i/>
        </w:rPr>
        <w:br/>
        <w:br/>
        <w:t>Emanuel, B.S. Molecular mechanisms and diagnosis of chromosome 22q11.2 rearrangements /B.S. Emanuel // Dev. Disabil. Res. Rev. – 2008. – Vol. 14(1). – P. 11-18</w:t>
        <w:br/>
        <w:br/>
        <w:t>Проект клинических рекомендаций. Синдром делеции 22 хромосомы (синдром Ди Георга (Ди Джорджи)), 2018г., стр.8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рис. 22-35). ISBN 978-5-9704-2231-1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результате хромосомного микроматричного анализа несбалансированные хромосомные нарушения не выявлены, что позволяет сделать вывод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необходимости обследования методом полноэкзомного секвенирования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нецелесообразности продолжения дальнейшего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необходимости подтверждения результатов хромосомного микроматричного анализа с локус-специфическими ДНК-зондами на регионы 22q11.2, 7q11.23, 10p13-p14, 11q23-ter, 11p13, 4q21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необходимости исследования последовательности гена _TBX_ _1_ методом прямого секвенирования по Сенгеру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необходимости исследования последовательности гена _TBX_ _1_ методом прямого секвенирования по Сенгеру</w:t>
      </w:r>
    </w:p>
    <w:p>
      <w:pPr>
        <w:ind w:left="504"/>
      </w:pPr>
      <w:r>
        <w:rPr>
          <w:b w:val="0"/>
          <w:i/>
        </w:rPr>
        <w:t>Комментарии:</w:t>
        <w:br/>
        <w:br/>
        <w:t>Ген _TBX_ _1_ (а именно его гаплонедостаточность) играет основную роль в формировании фенотипа пациентов с синдромом делеции 21q11.2.</w:t>
        <w:br/>
        <w:br/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  <w:br/>
        <w:br/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стр.16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https://omim.org/entry/188400</w:t>
        </w:r>
      </w:hyperlink>
    </w:p>
    <w:p>
      <w:pPr>
        <w:pStyle w:val="Heading2"/>
      </w:pPr>
      <w:r>
        <w:t>6.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результате секвенирования гена _TBX_ _1_  у ребёнка обнаружена ранее описанная патогенная мутация c.1223delС(p.Ser408fs), что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поставить диагноз синдром дупликации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поставить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поставить диагноз синдром делеции 7q11.23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поставить диагноз синдром делеции 22q11.2</w:t>
      </w:r>
    </w:p>
    <w:p>
      <w:pPr>
        <w:ind w:left="504"/>
      </w:pPr>
      <w:r>
        <w:rPr>
          <w:b w:val="0"/>
          <w:i/>
        </w:rPr>
        <w:t>Комментарии:</w:t>
        <w:br/>
        <w:br/>
        <w:t>Ген _TBX_ _1_(а именно его гаплонедостаточность) играет основную роль в формировании фенотипа пациентов с синдромом делеции 21q11.2.</w:t>
        <w:br/>
        <w:br/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  <w:br/>
        <w:br/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стр.16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https://omim.org/entry/188400</w:t>
        </w:r>
      </w:hyperlink>
    </w:p>
    <w:p>
      <w:pPr>
        <w:pStyle w:val="Heading2"/>
      </w:pPr>
      <w:r>
        <w:t>7.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оценки риска рождения больного ребёнка с синдромом делеции 22q11.2 в данной семье проводить обследование обоих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только при возникновении повторного случая рождения ребёнка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 методом Сенгера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нецелесообразно, так как случай спорадический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показано только при наличии фенотипических признаков синдрома делеции 22q11.2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необходимо методом Сенгера</w:t>
      </w:r>
    </w:p>
    <w:p>
      <w:pPr>
        <w:ind w:left="504"/>
      </w:pPr>
      <w:r>
        <w:rPr>
          <w:b w:val="0"/>
          <w:i/>
        </w:rPr>
        <w:t>Комментарии: Учитывая, что проявления синдрома микроделеции 22q11.2 обусловлено гаплонедостаточностью гена _TBX_ _1_, аутосомно-доминантное наследование состояний, обусловленных мутациями в этом гене, и значительный внутрисемейный клинический полиморфизм этого синдрома, с целью подтверждения патогенности мутации и установления её происхождения для последующей оценки генетического риска в семье рекомендуется обследование обоих родителей ребёнка с синдромом делеции 22q11.2.</w:t>
        <w:br/>
        <w:br/>
        <w:t>Проект клинических рекомендаций. Синдром делеции 22 хромосомы (синдром Ди Георга (Ди Джорджи)), 2018г., стр.8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Статья: 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  <w:br/>
        <w:br/>
      </w:r>
      <w:hyperlink r:id="rId41">
        <w:r>
          <w:rPr>
            <w:color w:val="173C49"/>
            <w:u w:val="single"/>
          </w:rPr>
          <w:t>https://pediatriajournal.ru/files/upload/mags/347/2015_4_4356.pdf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результате обследования родителей методом Сенгера у матери ребёнка обнаружена мутация в гене _TBX_ _1_ c.1223delС(p.Ser408fs), что позволяет оценить риск повторного случая рождения ребёнка с синдромом делеции 22q11.2 равным _____ процентов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50</w:t>
      </w:r>
    </w:p>
    <w:p>
      <w:pPr>
        <w:ind w:left="504"/>
      </w:pPr>
      <w:r>
        <w:rPr>
          <w:b w:val="0"/>
          <w:i/>
        </w:rPr>
        <w:t>Комментарии: Учитывая, что проявления синдрома микроделеции 22q11.2 обусловлено гаплонедостаточностью гена _TBX_ _1,_ и аутосомно-доминантное наследование состояний, обусловленных мутациями в этом гене, риск рождения больного ребёнка с синдромом делеции 22q11.2 составляет 50%.</w:t>
        <w:br/>
        <w:br/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  <w:br/>
        <w:br/>
      </w:r>
      <w:hyperlink r:id="rId35">
        <w:r>
          <w:rPr>
            <w:color w:val="173C49"/>
            <w:u w:val="single"/>
          </w:rPr>
          <w:t>https://omim.org/entry/188400</w:t>
        </w:r>
      </w:hyperlink>
      <w:r>
        <w:rPr>
          <w:b w:val="0"/>
          <w:i/>
        </w:rPr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стр.22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Комментарий: При аутосомно-доминантном типе наследования болезнь развивается при наличии мутаций в гетеро- и гомозиготном состоянии. В соответствии с этим у поражённого родителя-гетерозиготы риск рождения больного ребёнка составляет 50%, …...</w:t>
        <w:br/>
        <w:br/>
        <w:t>Генетика. Учебник для вузов/Под ред. академ. РАМН В.И. Иванова. - М.: ИКЦ «Академкнига», 2006,2007 - 639 с.:ил.; стр. 442, 585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профилактики риска повторного рождения больного ребенка в обследованной семье при наступлении беременности можно рекомендовать преимплантационное генетическое тестирование на наличие мутации в гене _TBX_ _1_ и хромосомные аномалии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неинвазивное пренатальное тестирование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вспомогательные репродуктивные технологии (экстракорпоральное оплодотворение со сперматозоидами донора)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и, только в случае обнаружения маркёров хромосомной патологии плода, инвазивную пренатальную диагностику на наличие мутации в гене _TBX_ _1_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ind w:left="504"/>
      </w:pPr>
      <w:r>
        <w:rPr>
          <w:b w:val="0"/>
          <w:i/>
        </w:rPr>
        <w:t>Комментарии: Обнаружение у матери ребёнка мутация в гене _TBX_ _1_, аналогичной обнаруженной мутации у ребёнка, и риск рождения ребёнка с синдромом делеции 22q11.2 50% (высокий) являются показанием к проведению инвазивной пренатальной диагностики.</w:t>
        <w:br/>
        <w:br/>
        <w:t>Комментарии:</w:t>
        <w:br/>
        <w:br/>
        <w:t>Пренатальная (дородовая) диагностика является по сути частью третьего этапа медико-генетического консультирования и не является обязательной; представляет собой один из основных подходов, позволяющих выявить генотипы, определяющие высокий риск развития заболевания у будущего ребёнка, и включает комплекс мероприятий, направленных на предотвращение появления больного ребёнка в семье.</w:t>
        <w:br/>
        <w:br/>
        <w:t>Генетика. Учебник для вузов/Под ред. академ. РАМН В.И. Иванова. - М.: ИКЦ «Академкнига», 2006,2007 - 639 с.:ил., стр. 573 – 574</w:t>
        <w:br/>
        <w:br/>
        <w:t>Комментарии:</w:t>
        <w:br/>
        <w:br/>
        <w:t>Преимплантационная диагностика является вторым подходом, позволяющим выявить генотипы, определяющие высокий риск развития заболевания у будущего ребёнка.</w:t>
        <w:br/>
        <w:br/>
        <w:t>Преимуществом является отсутствие необходимости искусственного прерывания беременности при обнаружении наследственной патологии у эмбриона.</w:t>
        <w:br/>
        <w:br/>
        <w:t>Генетика. Учебник для вузов/Под ред. академ. РАМН В.И. Иванова. - М.: ИКЦ «Академкнига», 2006,2007 - 639 с.:ил., стр. 573 – 577</w:t>
        <w:br/>
        <w:br/>
        <w:t>Комментарии: Биохимический и ультразвуковой скрининг в I триместре (пренатальный скрининг беременных I триместра), ультразвуковой скрининг во II триместре - являются обязательными для каждой женщины при наступлении беременности.</w:t>
        <w:br/>
        <w:br/>
      </w:r>
      <w:hyperlink r:id="rId44">
        <w:r>
          <w:rPr>
            <w:color w:val="173C49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Тяжелый врожденный иммунодефицит, требующий специального лечения, встречается менее чем у +___+ процента/процентов больных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ind w:left="504"/>
      </w:pPr>
      <w:r>
        <w:rPr>
          <w:b w:val="0"/>
          <w:i/>
        </w:rPr>
        <w:t>Комментарии: Лицевые аномалии в той или иной степени выраженности выявляются практически у всех пациентов, функциональная небная недостаточность, обусловливающая носовой оттенок голоса – у более чем 90% пациентов (по некоторым другим авторам более 70%), тогда как ВПС встречаются у 75-80% процентов пациентов, а остальные нарушения с частотой в диапазоне 1 - 30 - 40% (тяжёлый иммнодефицит – 1% случаев, гипертиреоидизм не более 5%, гипокальциемия как правило наблюдается в неонатальном периоде).</w:t>
        <w:br/>
        <w:br/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 (стр.64).</w:t>
        <w:br/>
        <w:br/>
        <w:t>Monteiro F.P. et al. Defining new guidelines for screening the 22q11.2 deletion based on a clinical and dysmorphologic evaluation of 194 individuals and review of the literature. Eur. J. Pediatr. 2013; 172 (7): 927–945.</w:t>
        <w:br/>
        <w:br/>
      </w:r>
      <w:hyperlink r:id="rId35">
        <w:r>
          <w:rPr>
            <w:color w:val="173C49"/>
            <w:u w:val="single"/>
          </w:rPr>
          <w:t>https://omim.org/entry/188400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D01514/?anchor=paragraph_efltd#paragraph_efltd" TargetMode="External"/><Relationship Id="rId21" Type="http://schemas.openxmlformats.org/officeDocument/2006/relationships/hyperlink" Target="https://library.mededtech.ru/rest/documents/D01514/?anchor=paragraph_l7idd#paragraph_l7idd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ISBN9785970422311/?anchor=&#1043;&#1083;&#1072;&#1074;&#1072;_22_&#1061;&#1088;&#1086;&#1084;&#1086;&#1089;&#1086;&#1084;&#1085;&#1099;&#1077;_&#1073;&#1086;&#1083;&#1077;&#1079;&#1085;&#1080;#&#1043;&#1083;&#1072;&#1074;&#1072;_22_&#1061;&#1088;&#1086;&#1084;&#1086;&#1089;&#1086;&#1084;&#1085;&#1099;&#1077;_&#1073;&#1086;&#1083;&#1077;&#1079;&#1085;&#1080;" TargetMode="External"/><Relationship Id="rId26" Type="http://schemas.openxmlformats.org/officeDocument/2006/relationships/hyperlink" Target="https://library.mededtech.ru/rest/documents/vilyamsa/" TargetMode="External"/><Relationship Id="rId27" Type="http://schemas.openxmlformats.org/officeDocument/2006/relationships/hyperlink" Target="https://library.mededtech.ru/rest/documents/14%20Deletsija%2022_14/" TargetMode="External"/><Relationship Id="rId28" Type="http://schemas.openxmlformats.org/officeDocument/2006/relationships/hyperlink" Target="https://library.mededtech.ru/rest/documents/14%20Deletsija%2022_14/#paragraph_342ue5" TargetMode="External"/><Relationship Id="rId29" Type="http://schemas.openxmlformats.org/officeDocument/2006/relationships/hyperlink" Target="https://library.mededtech.ru/rest/documents/sindrom/" TargetMode="External"/><Relationship Id="rId30" Type="http://schemas.openxmlformats.org/officeDocument/2006/relationships/hyperlink" Target="https://library.mededtech.ru/rest/documents/sindrom/#list_item_vc2e7g" TargetMode="External"/><Relationship Id="rId31" Type="http://schemas.openxmlformats.org/officeDocument/2006/relationships/hyperlink" Target="https://omim.org/clinicalSynopsis/194050" TargetMode="External"/><Relationship Id="rId32" Type="http://schemas.openxmlformats.org/officeDocument/2006/relationships/hyperlink" Target="https://omim.org/clinicalSynopsis/188400" TargetMode="External"/><Relationship Id="rId33" Type="http://schemas.openxmlformats.org/officeDocument/2006/relationships/hyperlink" Target="https://library.mededtech.ru/rest/documents/ISBN9785970422311/?anchor=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#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" TargetMode="External"/><Relationship Id="rId34" Type="http://schemas.openxmlformats.org/officeDocument/2006/relationships/hyperlink" Target="https://library.mededtech.ru/rest/documents/14%20Deletsija%2022_14/#paragraph_vqb36a" TargetMode="External"/><Relationship Id="rId35" Type="http://schemas.openxmlformats.org/officeDocument/2006/relationships/hyperlink" Target="https://omim.org/entry/188400" TargetMode="External"/><Relationship Id="rId36" Type="http://schemas.openxmlformats.org/officeDocument/2006/relationships/hyperlink" Target="https://library.mededtech.ru/rest/documents/sindrom/#paragraph_d51qcc" TargetMode="External"/><Relationship Id="rId37" Type="http://schemas.openxmlformats.org/officeDocument/2006/relationships/hyperlink" Target="https://library.mededtech.ru/rest/documents/14%20Deletsija%2022_14/#paragraph_cr9619" TargetMode="External"/><Relationship Id="rId38" Type="http://schemas.openxmlformats.org/officeDocument/2006/relationships/hyperlink" Target="https://library.mededtech.ru/rest/documents/sindrom/#list_item_sqi270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sindrom/#paragraph_36v7nj" TargetMode="External"/><Relationship Id="rId41" Type="http://schemas.openxmlformats.org/officeDocument/2006/relationships/hyperlink" Target="https://pediatriajournal.ru/files/upload/mags/347/2015_4_4356.pdf" TargetMode="External"/><Relationship Id="rId42" Type="http://schemas.openxmlformats.org/officeDocument/2006/relationships/hyperlink" Target="https://library.mededtech.ru/rest/documents/14%20Deletsija%2022_14/#paragraph_5ji1im" TargetMode="External"/><Relationship Id="rId43" Type="http://schemas.openxmlformats.org/officeDocument/2006/relationships/hyperlink" Target="https://library.mededtech.ru/rest/documents/sindrom/#paragraph_demolo" TargetMode="External"/><Relationship Id="rId44" Type="http://schemas.openxmlformats.org/officeDocument/2006/relationships/hyperlink" Target="https://library.mededtech.ru/rest/documents/prikazN11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